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07" w:rsidRPr="00C760F8" w:rsidRDefault="00803807" w:rsidP="00DD63D0">
      <w:pPr>
        <w:jc w:val="both"/>
        <w:rPr>
          <w:b/>
          <w:sz w:val="24"/>
          <w:szCs w:val="24"/>
          <w:u w:val="single"/>
        </w:rPr>
      </w:pPr>
    </w:p>
    <w:p w:rsidR="00206993" w:rsidRPr="00C760F8" w:rsidRDefault="009E034A" w:rsidP="00DD63D0">
      <w:pPr>
        <w:jc w:val="both"/>
        <w:rPr>
          <w:b/>
          <w:sz w:val="24"/>
          <w:szCs w:val="24"/>
          <w:u w:val="single"/>
        </w:rPr>
      </w:pPr>
      <w:r>
        <w:rPr>
          <w:b/>
          <w:sz w:val="24"/>
          <w:szCs w:val="24"/>
          <w:u w:val="single"/>
        </w:rPr>
        <w:t>CONTENIDO DEL</w:t>
      </w:r>
      <w:r w:rsidR="00F471F8" w:rsidRPr="00C760F8">
        <w:rPr>
          <w:b/>
          <w:sz w:val="24"/>
          <w:szCs w:val="24"/>
          <w:u w:val="single"/>
        </w:rPr>
        <w:t xml:space="preserve"> </w:t>
      </w:r>
      <w:r w:rsidR="00B8688E" w:rsidRPr="00C760F8">
        <w:rPr>
          <w:b/>
          <w:sz w:val="24"/>
          <w:szCs w:val="24"/>
          <w:u w:val="single"/>
        </w:rPr>
        <w:t xml:space="preserve">ESTUDIO DE </w:t>
      </w:r>
      <w:r w:rsidR="006D5B8D">
        <w:rPr>
          <w:b/>
          <w:sz w:val="24"/>
          <w:szCs w:val="24"/>
          <w:u w:val="single"/>
        </w:rPr>
        <w:t>PAISAJE</w:t>
      </w:r>
    </w:p>
    <w:p w:rsidR="00390132" w:rsidRPr="00C760F8" w:rsidRDefault="00390132" w:rsidP="00DD63D0">
      <w:pPr>
        <w:pStyle w:val="Ttulo3"/>
        <w:shd w:val="clear" w:color="auto" w:fill="FFFFFF"/>
        <w:spacing w:before="0" w:beforeAutospacing="0" w:line="300" w:lineRule="atLeast"/>
        <w:jc w:val="both"/>
        <w:rPr>
          <w:rFonts w:asciiTheme="minorHAnsi" w:eastAsiaTheme="minorEastAsia" w:hAnsiTheme="minorHAnsi" w:cstheme="minorBidi"/>
          <w:b w:val="0"/>
          <w:bCs w:val="0"/>
          <w:i/>
          <w:sz w:val="24"/>
          <w:szCs w:val="24"/>
        </w:rPr>
      </w:pPr>
      <w:r w:rsidRPr="00C760F8">
        <w:rPr>
          <w:rFonts w:asciiTheme="minorHAnsi" w:eastAsiaTheme="minorEastAsia" w:hAnsiTheme="minorHAnsi" w:cstheme="minorBidi"/>
          <w:b w:val="0"/>
          <w:bCs w:val="0"/>
          <w:i/>
          <w:sz w:val="24"/>
          <w:szCs w:val="24"/>
        </w:rPr>
        <w:t>(</w:t>
      </w:r>
      <w:hyperlink r:id="rId8" w:tgtFrame="_blank" w:history="1">
        <w:r w:rsidRPr="00C760F8">
          <w:rPr>
            <w:rStyle w:val="Hipervnculo"/>
            <w:rFonts w:asciiTheme="minorHAnsi" w:eastAsiaTheme="minorEastAsia" w:hAnsiTheme="minorHAnsi" w:cstheme="minorBidi"/>
            <w:b w:val="0"/>
            <w:bCs w:val="0"/>
            <w:i/>
            <w:color w:val="auto"/>
            <w:sz w:val="24"/>
            <w:szCs w:val="24"/>
          </w:rPr>
          <w:t>Ley 5/2014, de 25 de julio, de la Generalitat, de Ordenación del Territorio, Urbanismo y Paisaje, de la Comunitat Valenciana</w:t>
        </w:r>
      </w:hyperlink>
      <w:r w:rsidRPr="00C760F8">
        <w:rPr>
          <w:rFonts w:asciiTheme="minorHAnsi" w:eastAsiaTheme="minorEastAsia" w:hAnsiTheme="minorHAnsi" w:cstheme="minorBidi"/>
          <w:b w:val="0"/>
          <w:bCs w:val="0"/>
          <w:i/>
          <w:sz w:val="24"/>
          <w:szCs w:val="24"/>
        </w:rPr>
        <w:t>.)</w:t>
      </w:r>
    </w:p>
    <w:p w:rsidR="009D5C5C" w:rsidRDefault="009D5C5C" w:rsidP="00DD63D0">
      <w:pPr>
        <w:shd w:val="clear" w:color="auto" w:fill="FFFFFF"/>
        <w:spacing w:before="100" w:beforeAutospacing="1" w:after="100" w:afterAutospacing="1" w:line="300" w:lineRule="atLeast"/>
        <w:jc w:val="both"/>
        <w:rPr>
          <w:rFonts w:eastAsia="Times New Roman" w:cs="Lucida Sans Unicode"/>
          <w:sz w:val="24"/>
          <w:szCs w:val="24"/>
        </w:rPr>
      </w:pPr>
      <w:r w:rsidRPr="00EA0B6D">
        <w:rPr>
          <w:rFonts w:eastAsia="Times New Roman" w:cs="Lucida Sans Unicode"/>
          <w:sz w:val="24"/>
          <w:szCs w:val="24"/>
        </w:rPr>
        <w:t xml:space="preserve">Los </w:t>
      </w:r>
      <w:r w:rsidRPr="00EA0B6D">
        <w:rPr>
          <w:rFonts w:eastAsia="Times New Roman" w:cs="Lucida Sans Unicode"/>
          <w:b/>
          <w:sz w:val="24"/>
          <w:szCs w:val="24"/>
        </w:rPr>
        <w:t>estudios de paisaje</w:t>
      </w:r>
      <w:r w:rsidRPr="00EA0B6D">
        <w:rPr>
          <w:rFonts w:eastAsia="Times New Roman" w:cs="Lucida Sans Unicode"/>
          <w:sz w:val="24"/>
          <w:szCs w:val="24"/>
        </w:rPr>
        <w:t>, analizan la ordenación urbana y territorial y los procesos que inciden en el paisaje, en los planes sometidos a evaluación ambiental y territorial estratégica, fijando objetivos de calidad paisajística y estableciendo medidas destinadas a su protección, ordenación y gestión, conforme</w:t>
      </w:r>
      <w:r w:rsidR="00EA0B6D">
        <w:rPr>
          <w:rFonts w:eastAsia="Times New Roman" w:cs="Lucida Sans Unicode"/>
          <w:sz w:val="24"/>
          <w:szCs w:val="24"/>
        </w:rPr>
        <w:t xml:space="preserve"> establece el</w:t>
      </w:r>
      <w:r w:rsidRPr="00EA0B6D">
        <w:rPr>
          <w:rFonts w:eastAsia="Times New Roman" w:cs="Lucida Sans Unicode"/>
          <w:sz w:val="24"/>
          <w:szCs w:val="24"/>
        </w:rPr>
        <w:t xml:space="preserve"> anexo I de  </w:t>
      </w:r>
      <w:r w:rsidR="009E034A">
        <w:rPr>
          <w:rFonts w:eastAsia="Times New Roman" w:cs="Lucida Sans Unicode"/>
          <w:sz w:val="24"/>
          <w:szCs w:val="24"/>
        </w:rPr>
        <w:t>la Ley 5/2014.</w:t>
      </w:r>
    </w:p>
    <w:p w:rsidR="00EA0B6D" w:rsidRDefault="00EA0B6D" w:rsidP="00DD63D0">
      <w:pPr>
        <w:shd w:val="clear" w:color="auto" w:fill="FFFFFF"/>
        <w:spacing w:before="100" w:beforeAutospacing="1" w:after="100" w:afterAutospacing="1" w:line="300" w:lineRule="atLeast"/>
        <w:jc w:val="both"/>
        <w:rPr>
          <w:rFonts w:eastAsia="Times New Roman" w:cs="Lucida Sans Unicode"/>
          <w:sz w:val="24"/>
          <w:szCs w:val="24"/>
        </w:rPr>
      </w:pPr>
    </w:p>
    <w:p w:rsidR="009E034A" w:rsidRPr="009E034A" w:rsidRDefault="009E034A" w:rsidP="00DD63D0">
      <w:pPr>
        <w:shd w:val="clear" w:color="auto" w:fill="FFFFFF"/>
        <w:spacing w:before="100" w:beforeAutospacing="1" w:after="100" w:afterAutospacing="1" w:line="300" w:lineRule="atLeast"/>
        <w:jc w:val="both"/>
        <w:outlineLvl w:val="2"/>
        <w:rPr>
          <w:rFonts w:eastAsia="Times New Roman" w:cs="Lucida Sans Unicode"/>
          <w:b/>
          <w:sz w:val="24"/>
          <w:szCs w:val="24"/>
        </w:rPr>
      </w:pPr>
      <w:r w:rsidRPr="009E034A">
        <w:rPr>
          <w:rFonts w:eastAsia="Times New Roman" w:cs="Lucida Sans Unicode"/>
          <w:b/>
          <w:sz w:val="24"/>
          <w:szCs w:val="24"/>
        </w:rPr>
        <w:t>ANEXO I</w:t>
      </w:r>
    </w:p>
    <w:p w:rsidR="006D5B8D" w:rsidRPr="006D5B8D" w:rsidRDefault="006D5B8D" w:rsidP="00DD63D0">
      <w:pPr>
        <w:shd w:val="clear" w:color="auto" w:fill="FFFFFF"/>
        <w:spacing w:before="100" w:beforeAutospacing="1" w:after="100" w:afterAutospacing="1" w:line="300" w:lineRule="atLeast"/>
        <w:jc w:val="both"/>
        <w:rPr>
          <w:rFonts w:eastAsia="Times New Roman" w:cs="Lucida Sans Unicode"/>
          <w:sz w:val="24"/>
          <w:szCs w:val="24"/>
        </w:rPr>
      </w:pPr>
      <w:r w:rsidRPr="006D5B8D">
        <w:rPr>
          <w:rFonts w:eastAsia="Times New Roman" w:cs="Lucida Sans Unicode"/>
          <w:sz w:val="24"/>
          <w:szCs w:val="24"/>
        </w:rPr>
        <w:t>La información que deberá contener el estudio de paisaje previsto en la ley será, con carácter general, la siguiente:</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xml:space="preserve">a) Una breve </w:t>
      </w:r>
      <w:r w:rsidRPr="00DD63D0">
        <w:rPr>
          <w:b/>
          <w:sz w:val="24"/>
          <w:szCs w:val="24"/>
        </w:rPr>
        <w:t>descripción del plan, de sus objetivos principales y de sus relaciones con otros planes e instrumentos</w:t>
      </w:r>
      <w:r w:rsidRPr="006D5B8D">
        <w:rPr>
          <w:sz w:val="24"/>
          <w:szCs w:val="24"/>
        </w:rPr>
        <w:t>. Se analizará el territorio y las actividades y procesos con incidencia en el paisaje, existentes y previstas, en los ámbitos de la ordenación territorial y urbanística, cultural, medioambiental, agraria, social, turística y económica, así como en cualquier otro que pueda tener impacto sobre el paisaje.</w:t>
      </w:r>
    </w:p>
    <w:p w:rsid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xml:space="preserve">b) La </w:t>
      </w:r>
      <w:r w:rsidRPr="00DD63D0">
        <w:rPr>
          <w:b/>
          <w:sz w:val="24"/>
          <w:szCs w:val="24"/>
        </w:rPr>
        <w:t>caracterización del paisaje y determinación de su valoración y fragilidad</w:t>
      </w:r>
      <w:r w:rsidRPr="006D5B8D">
        <w:rPr>
          <w:sz w:val="24"/>
          <w:szCs w:val="24"/>
        </w:rPr>
        <w:t xml:space="preserve">, mediante la delimitación, y análisis, de las unidades de paisaje –definidas según el </w:t>
      </w:r>
      <w:r w:rsidRPr="00DD63D0">
        <w:rPr>
          <w:sz w:val="24"/>
          <w:szCs w:val="24"/>
          <w:highlight w:val="yellow"/>
        </w:rPr>
        <w:t>artículo 8.d</w:t>
      </w:r>
      <w:r w:rsidRPr="006D5B8D">
        <w:rPr>
          <w:sz w:val="24"/>
          <w:szCs w:val="24"/>
        </w:rPr>
        <w:t xml:space="preserve"> de esta ley– y de los recursos paisajísticos comprendidos en el ámbito de estudio. Se describirán los aspectos relevantes de la situación actual del paisaje y su contribución a la infraestructura verde, identificando los problemas o conflictos paisajísticos que lo degradan, conforme a las siguientes reglas:</w:t>
      </w:r>
    </w:p>
    <w:p w:rsidR="00DD63D0" w:rsidRPr="00DD63D0" w:rsidRDefault="00DD63D0" w:rsidP="00DD63D0">
      <w:pPr>
        <w:shd w:val="clear" w:color="auto" w:fill="FFFFFF"/>
        <w:spacing w:before="100" w:beforeAutospacing="1" w:after="100" w:afterAutospacing="1" w:line="300" w:lineRule="atLeast"/>
        <w:ind w:left="284" w:right="284"/>
        <w:jc w:val="both"/>
        <w:rPr>
          <w:i/>
          <w:sz w:val="24"/>
          <w:szCs w:val="24"/>
        </w:rPr>
      </w:pPr>
      <w:r w:rsidRPr="00DD63D0">
        <w:rPr>
          <w:b/>
          <w:i/>
          <w:sz w:val="24"/>
          <w:szCs w:val="24"/>
          <w:highlight w:val="yellow"/>
        </w:rPr>
        <w:t>artículo 8. d</w:t>
      </w:r>
      <w:r w:rsidRPr="00DD63D0">
        <w:rPr>
          <w:b/>
          <w:i/>
          <w:sz w:val="24"/>
          <w:szCs w:val="24"/>
        </w:rPr>
        <w:t>)</w:t>
      </w:r>
      <w:r w:rsidRPr="00DD63D0">
        <w:rPr>
          <w:i/>
          <w:sz w:val="24"/>
          <w:szCs w:val="24"/>
        </w:rPr>
        <w:t> Las unidades de paisaje, definidas como las áreas geográficas con una configuración estructural, funcional o perceptiva diferenciada, que han adquirido los caracteres que las definen a lo largo del tiempo, constituirán una referencia preferente en la zonificación del territorio propuesta en los planes territoriales y urbanísticos.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1.º </w:t>
      </w:r>
      <w:r w:rsidRPr="00DD63D0">
        <w:rPr>
          <w:b/>
          <w:sz w:val="24"/>
          <w:szCs w:val="24"/>
        </w:rPr>
        <w:t>Ámbito</w:t>
      </w:r>
      <w:r w:rsidRPr="006D5B8D">
        <w:rPr>
          <w:sz w:val="24"/>
          <w:szCs w:val="24"/>
        </w:rPr>
        <w:t>. El ámbito de estudio se definirá a partir de consideraciones paisajísticas, visuales y territoriales, será independiente del plan o proyecto al que se refiera, e incluirá unidades de paisaje completas, con independencia de cualquier límite de naturaleza administrativa.</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lastRenderedPageBreak/>
        <w:t>2.º </w:t>
      </w:r>
      <w:r w:rsidRPr="00DD63D0">
        <w:rPr>
          <w:b/>
          <w:sz w:val="24"/>
          <w:szCs w:val="24"/>
        </w:rPr>
        <w:t>Unidades de paisaje</w:t>
      </w:r>
      <w:r w:rsidRPr="006D5B8D">
        <w:rPr>
          <w:sz w:val="24"/>
          <w:szCs w:val="24"/>
        </w:rPr>
        <w:t>. Las unidades de paisaje se delimitarán en proporción a la escala del plan o proyecto de que se trate, atendiendo a las variables definitorias de su función y su percepción, tanto naturales como por causa de la intervención humana y serán coherentes con las delimitadas por planes y proyectos aprobados por la administración competente y con la unidades ambientales delimitadas en los procesos de evaluación ambiental.</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3.º </w:t>
      </w:r>
      <w:r w:rsidRPr="00DD63D0">
        <w:rPr>
          <w:b/>
          <w:sz w:val="24"/>
          <w:szCs w:val="24"/>
        </w:rPr>
        <w:t>Recursos paisajísticos</w:t>
      </w:r>
      <w:r w:rsidRPr="006D5B8D">
        <w:rPr>
          <w:sz w:val="24"/>
          <w:szCs w:val="24"/>
        </w:rPr>
        <w:t>. Los recursos paisajísticos –entendiendo por tales, todo elemento o grupo, lineal o puntual, singular en un paisaje, que define su individualidad y tiene valor ambiental, cultural y/o histórico, y/o visual– se identificarán según lo siguiente:</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w:t>
      </w:r>
      <w:r w:rsidRPr="00DD63D0">
        <w:rPr>
          <w:sz w:val="24"/>
          <w:szCs w:val="24"/>
          <w:u w:val="single"/>
        </w:rPr>
        <w:t>Por su interés ambiental</w:t>
      </w:r>
      <w:r w:rsidRPr="006D5B8D">
        <w:rPr>
          <w:sz w:val="24"/>
          <w:szCs w:val="24"/>
        </w:rPr>
        <w:t>. infraestructura verde del territorio y áreas o elementos del paisaje objeto de algún grado de protección, declarado o en tramitación, calificados de valor muy alto o alto por los instrumentos de paisaje, o con valores acreditados por las declaraciones ambientales.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w:t>
      </w:r>
      <w:r w:rsidRPr="00DD63D0">
        <w:rPr>
          <w:sz w:val="24"/>
          <w:szCs w:val="24"/>
          <w:u w:val="single"/>
        </w:rPr>
        <w:t>Por su interés cultural y patrimonial</w:t>
      </w:r>
      <w:r w:rsidRPr="006D5B8D">
        <w:rPr>
          <w:sz w:val="24"/>
          <w:szCs w:val="24"/>
        </w:rPr>
        <w:t>. Áreas o elementos con algún grado de protección, declarado o en tramitación, y los elementos o espacios apreciados por la sociedad del lugar como hitos en la evolución histórica y cuya modificación de las condiciones de percepción fuera valorada como una pérdida de rasgos locales de identidad o patrimoniales.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w:t>
      </w:r>
      <w:r w:rsidRPr="00DD63D0">
        <w:rPr>
          <w:sz w:val="24"/>
          <w:szCs w:val="24"/>
          <w:u w:val="single"/>
        </w:rPr>
        <w:t>Por su interés visual</w:t>
      </w:r>
      <w:r w:rsidRPr="006D5B8D">
        <w:rPr>
          <w:sz w:val="24"/>
          <w:szCs w:val="24"/>
        </w:rPr>
        <w:t>. Áreas y elementos sensibles al análisis visual cuya alteración puede hacer variar negativamente la calidad de la percepción, tales como: hitos topográficos, laderas, crestas, línea de horizonte, ríos y similares; perfiles de asentamientos históricos, hitos urbanos, culturales, religiosos o agrícolas, siluetas y fachadas urbanas, y otros similares; puntos de observación y recorridos paisajísticos relevantes; cuencas visuales que permitan observar los elementos identificados con anterioridad, la imagen exterior de núcleos urbanos de alto valor y su inserción en el territorio, y/o la escena urbana interior; y áreas de afección visual desde las carreteras.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4.º </w:t>
      </w:r>
      <w:r w:rsidRPr="00DD63D0">
        <w:rPr>
          <w:b/>
          <w:sz w:val="24"/>
          <w:szCs w:val="24"/>
        </w:rPr>
        <w:t>Valoración de paisaje</w:t>
      </w:r>
      <w:r w:rsidRPr="006D5B8D">
        <w:rPr>
          <w:sz w:val="24"/>
          <w:szCs w:val="24"/>
        </w:rPr>
        <w:t>. Se determinarán el valor paisajístico y las fragilidades paisajística y visual de cada unidad de paisaje y recurso paisajístico, conforme a lo siguiente:</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w:t>
      </w:r>
      <w:r w:rsidRPr="00DD63D0">
        <w:rPr>
          <w:b/>
          <w:sz w:val="24"/>
          <w:szCs w:val="24"/>
        </w:rPr>
        <w:t>Valor paisajístico (VP)</w:t>
      </w:r>
      <w:r w:rsidRPr="006D5B8D">
        <w:rPr>
          <w:sz w:val="24"/>
          <w:szCs w:val="24"/>
        </w:rPr>
        <w:t xml:space="preserve"> es el valor asignado a cada unidad y recurso definidos en función de su caracterización –expresada mediante los parámetros, calidad, a determinar por técnicos especialistas (C), y opinión del público interesado, deducida de los procesos de participación pública (P) en su caso– y de su visibilidad, expresada mediante el coeficiente de visibilidad (v). C y P se calificarán cualitativamente conforme a la escala, muy bajo (mb), bajo (b), medio (m), alto (a) y muy alto (ma). VP se determinará de acuerdo con la expresión, VP =[(C + P)/2]·v, y se calificará según la misma escala. En cualquier caso deberá atribuirse el máximo valor a los paisajes ya </w:t>
      </w:r>
      <w:r w:rsidRPr="006D5B8D">
        <w:rPr>
          <w:sz w:val="24"/>
          <w:szCs w:val="24"/>
        </w:rPr>
        <w:lastRenderedPageBreak/>
        <w:t>reconocidos por una figura de la legislación en materia de espacios naturales o patrimonio cultural.</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w:t>
      </w:r>
      <w:r w:rsidRPr="00DD63D0">
        <w:rPr>
          <w:b/>
          <w:sz w:val="24"/>
          <w:szCs w:val="24"/>
        </w:rPr>
        <w:t>Fragilidad del paisaje (FP)</w:t>
      </w:r>
      <w:r w:rsidRPr="006D5B8D">
        <w:rPr>
          <w:sz w:val="24"/>
          <w:szCs w:val="24"/>
        </w:rPr>
        <w:t xml:space="preserve"> es el parámetro que mide el potencial de pérdida de valor paisajistico (VP) de las unidades de paisaje y recursos paisajísticos debida a la alteración del medio con respecto al estado en el que se obtuvo la valoración.</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w:t>
      </w:r>
      <w:r w:rsidRPr="00DD63D0">
        <w:rPr>
          <w:b/>
          <w:sz w:val="24"/>
          <w:szCs w:val="24"/>
        </w:rPr>
        <w:t>Fragilidad visual (VF)</w:t>
      </w:r>
      <w:r w:rsidRPr="006D5B8D">
        <w:rPr>
          <w:sz w:val="24"/>
          <w:szCs w:val="24"/>
        </w:rPr>
        <w:t xml:space="preserve"> es el parámetro que mide el potencial de las unidades de paisaje y recursos paisajísticos para integrar, o acomodarse a una determinada acción o proyecto atendiendo a la propia fragilidad del paisaje (FP) y a las características o naturaleza de la acción o proyecto de que se trate según el volumen, forma, proporción, color, material, textura, reflejos, y bloqueos de vistas a que pueda dar lugar.</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FP y FV deberán justificarse atendiendo a las circunstancias concurrentes, dando cuenta de la metodología empleada –preferentemente mediante procedimientos cuantitativos– y en todo caso calificarse de acuerdo con la escala a la que se refiere el aparatado anterior.</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c) </w:t>
      </w:r>
      <w:r w:rsidRPr="00DD63D0">
        <w:rPr>
          <w:b/>
          <w:sz w:val="24"/>
          <w:szCs w:val="24"/>
        </w:rPr>
        <w:t>Un análisis visual del ámbito de estudio</w:t>
      </w:r>
      <w:r w:rsidRPr="006D5B8D">
        <w:rPr>
          <w:sz w:val="24"/>
          <w:szCs w:val="24"/>
        </w:rPr>
        <w:t xml:space="preserve"> con el objeto de determinar la visibilidad del paisaje como uno de los factores determinantes de su valoración, así como el de identificar y valorar los posibles impactos visuales de las actuaciones derivadas del plan sobre el mismo.</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1.º </w:t>
      </w:r>
      <w:r w:rsidRPr="00DD63D0">
        <w:rPr>
          <w:b/>
          <w:sz w:val="24"/>
          <w:szCs w:val="24"/>
        </w:rPr>
        <w:t>La visibilidad del paisaje se determinará mediante</w:t>
      </w:r>
      <w:r w:rsidRPr="006D5B8D">
        <w:rPr>
          <w:sz w:val="24"/>
          <w:szCs w:val="24"/>
        </w:rPr>
        <w:t xml:space="preserve"> la identificación de los recorridos escénicos –vías de comunicación, caminos tradicionales, senderos o similares, con un valor paisajístico excepcional por atravesar y/o tener vistas sobre paisajes de valor– el señalamiento de las vistas y zonas de afección visual hacia y desde las unidades y recursos, con respecto de puntos de observación significativos –vías de comunicación, núcleos de población, áreas de gran afluencia y lugares estratégicos por mostrar la singularidad del paisaje– que se calificarán como principales o secundarios en función del número de observadores potenciales, de la distancia y de la duración de la visión, y la determinación del coeficiente de ponderación del valor de las unidades y de los recursos paisajísticos en función de su visibilidad, o coeficiente de visibilidad (v).</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 xml:space="preserve">2.º A efectos de determinar la visibilidad del paisaje, </w:t>
      </w:r>
      <w:r w:rsidRPr="00DD63D0">
        <w:rPr>
          <w:b/>
          <w:sz w:val="24"/>
          <w:szCs w:val="24"/>
        </w:rPr>
        <w:t>el análisis visual se realizará a partir de</w:t>
      </w:r>
      <w:r w:rsidRPr="006D5B8D">
        <w:rPr>
          <w:sz w:val="24"/>
          <w:szCs w:val="24"/>
        </w:rPr>
        <w:t xml:space="preserve"> los puntos de observación, hasta distancias baja (500 m), media (1.500 m) y alta (más de 1.500 m y hasta 3000 m, o superior) y distinguiendo las zonas visibles desde los mismos o cuencas visuales, de las no visibles, mediante técnicas informáticas sobre cartografía a escala adecuada, –pudiendo a tal efecto hacerse uso de las herramientas puestas a disposición pública por el Instituto Cartográfico Valenciano– y apoyo de campo, y deberá documentarse con imágenes fotográficas panorámicas con la amplitud de ángulo y profundidad que se requiera en cada caso.</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lastRenderedPageBreak/>
        <w:t>Según la calificación de los puntos de observación y de las zonas visibles desde estos, el análisis visual se sustancia en la siguiente calificación de los terrenos: zonas de máxima visibilidad, si son visibles desde algún punto de observación principal; zonas de visibilidad media, si son visibles desde más de la mitad de los puntos de observación secundarios; zonas de visibilidad baja, si son visibles desde menos de la mitad de los puntos de observación secundarios; y terrenos en sombra, si no son visibles desde ninguno de los puntos de observación considerados.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DD63D0">
        <w:rPr>
          <w:b/>
          <w:sz w:val="24"/>
          <w:szCs w:val="24"/>
        </w:rPr>
        <w:t>El coeficiente de visibilidad (v)</w:t>
      </w:r>
      <w:r w:rsidRPr="006D5B8D">
        <w:rPr>
          <w:sz w:val="24"/>
          <w:szCs w:val="24"/>
        </w:rPr>
        <w:t xml:space="preserve"> tiene por finalidad trasladar la calificación cualitativa de la visibilidad del territorio a términos cuantitativos, tomando la forma de un número racional comprendido en el intervalo [0 y 1].</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d) </w:t>
      </w:r>
      <w:r w:rsidRPr="00DD63D0">
        <w:rPr>
          <w:b/>
          <w:sz w:val="24"/>
          <w:szCs w:val="24"/>
        </w:rPr>
        <w:t>Los objetivos de calidad paisajística fijados en</w:t>
      </w:r>
      <w:r w:rsidRPr="006D5B8D">
        <w:rPr>
          <w:sz w:val="24"/>
          <w:szCs w:val="24"/>
        </w:rPr>
        <w:t xml:space="preserve"> los ámbitos internacional, comunitario europeo, estatal, regional o local que tengan relación con el plan.</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e) </w:t>
      </w:r>
      <w:r w:rsidRPr="00DD63D0">
        <w:rPr>
          <w:b/>
          <w:sz w:val="24"/>
          <w:szCs w:val="24"/>
        </w:rPr>
        <w:t>Los objetivos de calidad paisajística y criterios paisajísticos adoptados para la elaboración del plan con el fin de</w:t>
      </w:r>
      <w:r w:rsidRPr="006D5B8D">
        <w:rPr>
          <w:sz w:val="24"/>
          <w:szCs w:val="24"/>
        </w:rPr>
        <w:t xml:space="preserve"> compatibilizar el desarrollo territorial y urbano con la preservación de los valores paisajísticos identificados, que deben ser congruentes con los fijados por el documento de alcance del estudio ambiental y territorial estratégico. Estos objetivos son la expresión de las políticas de paisaje en relación a cada unidad y recurso paisajísticos, teniendo en consideración las preferencias de la población conocidas mediante métodos participativos. Se fijarán para cada unidad y recurso identificados una vez reconocido su carácter y valor paisajístico, según las siguientes alternativas: preservación del carácter existente; restauración del carácter; mejora del carácter a partir de la introducción de nuevos elementos o la gestión de los ya existentes; creación de un nuevo paisaje; una combinación de los anteriores.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f) </w:t>
      </w:r>
      <w:r w:rsidRPr="00DD63D0">
        <w:rPr>
          <w:b/>
          <w:sz w:val="24"/>
          <w:szCs w:val="24"/>
        </w:rPr>
        <w:t>La evaluación de las alternativas seleccionadas en relación con el análisis paisajístico efectuado de acuerdo a los apartados anteriores, incluyendo</w:t>
      </w:r>
      <w:r w:rsidRPr="006D5B8D">
        <w:rPr>
          <w:sz w:val="24"/>
          <w:szCs w:val="24"/>
        </w:rPr>
        <w:t xml:space="preserve"> la verificación del cumplimiento de los objetivos de calidad paisajística y la justificación de la idoneidad paisajística de la alternativa, que debe tener en cuenta también los posibles efectos acumulativos con otros planes o programas.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g) </w:t>
      </w:r>
      <w:r w:rsidRPr="00DD63D0">
        <w:rPr>
          <w:b/>
          <w:sz w:val="24"/>
          <w:szCs w:val="24"/>
        </w:rPr>
        <w:t>Los</w:t>
      </w:r>
      <w:r w:rsidRPr="006D5B8D">
        <w:rPr>
          <w:sz w:val="24"/>
          <w:szCs w:val="24"/>
        </w:rPr>
        <w:t xml:space="preserve"> </w:t>
      </w:r>
      <w:r w:rsidRPr="00DD63D0">
        <w:rPr>
          <w:b/>
          <w:sz w:val="24"/>
          <w:szCs w:val="24"/>
        </w:rPr>
        <w:t>probables efectos significativos del plan o programa</w:t>
      </w:r>
      <w:r w:rsidRPr="006D5B8D">
        <w:rPr>
          <w:sz w:val="24"/>
          <w:szCs w:val="24"/>
        </w:rPr>
        <w:t xml:space="preserve"> sobre el paisaje.</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h) </w:t>
      </w:r>
      <w:r w:rsidRPr="00DD63D0">
        <w:rPr>
          <w:b/>
          <w:sz w:val="24"/>
          <w:szCs w:val="24"/>
        </w:rPr>
        <w:t>Las medidas y acciones necesarias para el cumplimiento de los objetivos de</w:t>
      </w:r>
      <w:r w:rsidRPr="006D5B8D">
        <w:rPr>
          <w:sz w:val="24"/>
          <w:szCs w:val="24"/>
        </w:rPr>
        <w:t xml:space="preserve"> calidad paisajística, así como para prevenir, reducir y, en la medida de lo posible, compensar los efectos significativos importantes en el paisaje que puedan derivarse de la aplicación del plan. Deben incluirse las determinaciones paisajísticas necesarias para orientar la planificación y programación previstas. Estas medidas consistirán, con carácter general, en las siguientes: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1.º </w:t>
      </w:r>
      <w:r w:rsidRPr="00DD63D0">
        <w:rPr>
          <w:b/>
          <w:sz w:val="24"/>
          <w:szCs w:val="24"/>
        </w:rPr>
        <w:t>Catalogación de los paisajes de mayor valor</w:t>
      </w:r>
      <w:r w:rsidRPr="006D5B8D">
        <w:rPr>
          <w:sz w:val="24"/>
          <w:szCs w:val="24"/>
        </w:rPr>
        <w:t>.</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lastRenderedPageBreak/>
        <w:t>2.º </w:t>
      </w:r>
      <w:r w:rsidRPr="00DD63D0">
        <w:rPr>
          <w:b/>
          <w:sz w:val="24"/>
          <w:szCs w:val="24"/>
        </w:rPr>
        <w:t>Integración en la infraestructura verde</w:t>
      </w:r>
      <w:r w:rsidRPr="006D5B8D">
        <w:rPr>
          <w:sz w:val="24"/>
          <w:szCs w:val="24"/>
        </w:rPr>
        <w:t xml:space="preserve"> de los paisajes de mayor valor y de sus conexiones ecológicas, funcionales, paisajísticas y visuales.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3.º </w:t>
      </w:r>
      <w:r w:rsidRPr="00DD63D0">
        <w:rPr>
          <w:b/>
          <w:sz w:val="24"/>
          <w:szCs w:val="24"/>
        </w:rPr>
        <w:t>Establecimiento de normas de integración paisajística</w:t>
      </w:r>
      <w:r w:rsidRPr="006D5B8D">
        <w:rPr>
          <w:sz w:val="24"/>
          <w:szCs w:val="24"/>
        </w:rPr>
        <w:t xml:space="preserve"> que definan los criterios de localización en el territorio y de diseño de nuevos usos y actividades.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Adecuación de las actuaciones a la morfología del territorio y el paisaje, evitando la urbanización de suelos con pendientes medias superiores al 50 %.</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4.º </w:t>
      </w:r>
      <w:r w:rsidRPr="00DD63D0">
        <w:rPr>
          <w:b/>
          <w:sz w:val="24"/>
          <w:szCs w:val="24"/>
        </w:rPr>
        <w:t>Definición de programas de paisaje prioritarios</w:t>
      </w:r>
      <w:r w:rsidRPr="006D5B8D">
        <w:rPr>
          <w:sz w:val="24"/>
          <w:szCs w:val="24"/>
        </w:rPr>
        <w:t xml:space="preserve"> para la preservación, mejora o puesta en valor de los distintos paisajes.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DD63D0">
        <w:rPr>
          <w:b/>
          <w:sz w:val="24"/>
          <w:szCs w:val="24"/>
        </w:rPr>
        <w:t>El documento de alcance del estudio ambiental y territorial estratégico podrá establecer la necesidad de completar el estudio de paisaje con el contenido necesario para estudiar la integración paisajística de las propuestas del plan y, en su caso, de las alternativas estudiadas, en función del tipo, escala y contenido del mismo, con la siguiente información</w:t>
      </w:r>
      <w:r w:rsidRPr="006D5B8D">
        <w:rPr>
          <w:sz w:val="24"/>
          <w:szCs w:val="24"/>
        </w:rPr>
        <w:t>:</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a) </w:t>
      </w:r>
      <w:r w:rsidRPr="00DD63D0">
        <w:rPr>
          <w:b/>
          <w:sz w:val="24"/>
          <w:szCs w:val="24"/>
        </w:rPr>
        <w:t>La valoración de la integración paisajística y visual de las actuaciones derivadas del plan y la identificación de sus posibles impactos sobre el paisaje</w:t>
      </w:r>
      <w:r w:rsidRPr="006D5B8D">
        <w:rPr>
          <w:sz w:val="24"/>
          <w:szCs w:val="24"/>
        </w:rPr>
        <w:t>. Se analizará y valorará la fragilidad del paisaje para acomodar los cambios sin perder su valor o su carácter, los cambios en la composición de vistas hacia el mismo y los efectos sobre su calidad visual.</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b) </w:t>
      </w:r>
      <w:r w:rsidRPr="00DD63D0">
        <w:rPr>
          <w:b/>
          <w:sz w:val="24"/>
          <w:szCs w:val="24"/>
        </w:rPr>
        <w:t>Los resultados y conclusiones de la valoración anterior</w:t>
      </w:r>
      <w:r w:rsidRPr="006D5B8D">
        <w:rPr>
          <w:sz w:val="24"/>
          <w:szCs w:val="24"/>
        </w:rPr>
        <w:t>, justificados mediante técnicas gráficas de representación y simulación visual del paisaje que muestren la situación existente y la previsible con la actuación propuesta antes y después de poner en práctica las medidas correctoras.</w:t>
      </w:r>
    </w:p>
    <w:p w:rsidR="006D5B8D" w:rsidRPr="006D5B8D" w:rsidRDefault="006D5B8D" w:rsidP="00DD63D0">
      <w:pPr>
        <w:shd w:val="clear" w:color="auto" w:fill="FFFFFF"/>
        <w:spacing w:before="100" w:beforeAutospacing="1" w:after="100" w:afterAutospacing="1" w:line="300" w:lineRule="atLeast"/>
        <w:jc w:val="both"/>
        <w:rPr>
          <w:sz w:val="24"/>
          <w:szCs w:val="24"/>
        </w:rPr>
      </w:pPr>
      <w:r w:rsidRPr="006D5B8D">
        <w:rPr>
          <w:sz w:val="24"/>
          <w:szCs w:val="24"/>
        </w:rPr>
        <w:t>c) </w:t>
      </w:r>
      <w:r w:rsidRPr="00DD63D0">
        <w:rPr>
          <w:b/>
          <w:sz w:val="24"/>
          <w:szCs w:val="24"/>
        </w:rPr>
        <w:t>Las medidas de integración paisajística necesarias</w:t>
      </w:r>
      <w:r w:rsidRPr="006D5B8D">
        <w:rPr>
          <w:sz w:val="24"/>
          <w:szCs w:val="24"/>
        </w:rPr>
        <w:t>, no solo para mitigar los impactos paisajísticos y visuales definidos, sino también para mejorar el paisaje y la calidad visual del entorno, con su correspondiente programación.</w:t>
      </w:r>
    </w:p>
    <w:p w:rsidR="004030D0" w:rsidRPr="00D210D5" w:rsidRDefault="004030D0" w:rsidP="00D210D5">
      <w:pPr>
        <w:jc w:val="both"/>
        <w:rPr>
          <w:sz w:val="24"/>
          <w:szCs w:val="24"/>
        </w:rPr>
      </w:pPr>
      <w:r w:rsidRPr="00D210D5">
        <w:rPr>
          <w:sz w:val="24"/>
          <w:szCs w:val="24"/>
        </w:rPr>
        <w:t>P</w:t>
      </w:r>
      <w:r w:rsidR="00B27E81" w:rsidRPr="00D210D5">
        <w:rPr>
          <w:sz w:val="24"/>
          <w:szCs w:val="24"/>
        </w:rPr>
        <w:t>ara consultas, p</w:t>
      </w:r>
      <w:r w:rsidRPr="00D210D5">
        <w:rPr>
          <w:sz w:val="24"/>
          <w:szCs w:val="24"/>
        </w:rPr>
        <w:t xml:space="preserve">uedes </w:t>
      </w:r>
      <w:r w:rsidR="00B27E81" w:rsidRPr="00D210D5">
        <w:rPr>
          <w:sz w:val="24"/>
          <w:szCs w:val="24"/>
        </w:rPr>
        <w:t>apoyarte en el siguiente material</w:t>
      </w:r>
      <w:r w:rsidR="003973C9" w:rsidRPr="00D210D5">
        <w:rPr>
          <w:sz w:val="24"/>
          <w:szCs w:val="24"/>
        </w:rPr>
        <w:t xml:space="preserve"> </w:t>
      </w:r>
      <w:r w:rsidR="00D0597B" w:rsidRPr="00D210D5">
        <w:rPr>
          <w:i/>
          <w:color w:val="000000" w:themeColor="text1"/>
          <w:sz w:val="24"/>
          <w:szCs w:val="24"/>
        </w:rPr>
        <w:t>(</w:t>
      </w:r>
      <w:r w:rsidR="003973C9" w:rsidRPr="00D210D5">
        <w:rPr>
          <w:i/>
          <w:color w:val="000000" w:themeColor="text1"/>
          <w:sz w:val="24"/>
          <w:szCs w:val="24"/>
        </w:rPr>
        <w:t xml:space="preserve">conforme al derogado Reglamento de Paisaje </w:t>
      </w:r>
      <w:r w:rsidR="003973C9" w:rsidRPr="00D210D5">
        <w:rPr>
          <w:rFonts w:cstheme="majorBidi"/>
          <w:i/>
          <w:color w:val="000000" w:themeColor="text1"/>
          <w:sz w:val="24"/>
          <w:szCs w:val="24"/>
        </w:rPr>
        <w:t>de la Comunitat Valenciana</w:t>
      </w:r>
      <w:r w:rsidR="003973C9" w:rsidRPr="00D210D5">
        <w:rPr>
          <w:i/>
          <w:color w:val="000000" w:themeColor="text1"/>
          <w:sz w:val="24"/>
          <w:szCs w:val="24"/>
        </w:rPr>
        <w:t xml:space="preserve">, </w:t>
      </w:r>
      <w:r w:rsidR="003973C9" w:rsidRPr="00D210D5">
        <w:rPr>
          <w:rFonts w:cstheme="majorBidi"/>
          <w:i/>
          <w:color w:val="000000" w:themeColor="text1"/>
          <w:sz w:val="24"/>
          <w:szCs w:val="24"/>
        </w:rPr>
        <w:t>Decreto 120/2006, de 11 de agosto, del Consell</w:t>
      </w:r>
      <w:r w:rsidR="003973C9" w:rsidRPr="00D210D5">
        <w:rPr>
          <w:i/>
          <w:color w:val="000000" w:themeColor="text1"/>
          <w:sz w:val="24"/>
          <w:szCs w:val="24"/>
        </w:rPr>
        <w:t>)</w:t>
      </w:r>
      <w:r w:rsidRPr="00D210D5">
        <w:rPr>
          <w:i/>
          <w:sz w:val="24"/>
          <w:szCs w:val="24"/>
        </w:rPr>
        <w:t>:</w:t>
      </w:r>
    </w:p>
    <w:p w:rsidR="00CF5CC1" w:rsidRPr="007B271A" w:rsidRDefault="00AA4EA1" w:rsidP="007B271A">
      <w:pPr>
        <w:pStyle w:val="Ttulo2"/>
        <w:numPr>
          <w:ilvl w:val="0"/>
          <w:numId w:val="35"/>
        </w:numPr>
        <w:shd w:val="clear" w:color="auto" w:fill="FFFFFF"/>
        <w:spacing w:line="252" w:lineRule="atLeast"/>
        <w:jc w:val="both"/>
        <w:rPr>
          <w:rFonts w:asciiTheme="minorHAnsi" w:hAnsiTheme="minorHAnsi"/>
          <w:b w:val="0"/>
          <w:color w:val="000000" w:themeColor="text1"/>
          <w:sz w:val="24"/>
          <w:szCs w:val="24"/>
        </w:rPr>
      </w:pPr>
      <w:hyperlink r:id="rId9" w:tgtFrame="_blank" w:history="1">
        <w:r w:rsidR="0088322B" w:rsidRPr="007B271A">
          <w:rPr>
            <w:rStyle w:val="Hipervnculo"/>
            <w:rFonts w:asciiTheme="minorHAnsi" w:eastAsia="Times New Roman" w:hAnsiTheme="minorHAnsi" w:cs="Lucida Sans Unicode"/>
            <w:bCs w:val="0"/>
            <w:sz w:val="24"/>
            <w:szCs w:val="24"/>
          </w:rPr>
          <w:t xml:space="preserve">Guía metodológica </w:t>
        </w:r>
        <w:r w:rsidRPr="007B271A">
          <w:rPr>
            <w:rStyle w:val="Hipervnculo"/>
            <w:rFonts w:asciiTheme="minorHAnsi" w:eastAsia="Times New Roman" w:hAnsiTheme="minorHAnsi" w:cs="Lucida Sans Unicode"/>
            <w:bCs w:val="0"/>
            <w:sz w:val="24"/>
            <w:szCs w:val="24"/>
          </w:rPr>
          <w:t>para estudios de paisaje de la CITMA  Generalitat Valenciana</w:t>
        </w:r>
      </w:hyperlink>
      <w:r w:rsidRPr="007B271A">
        <w:rPr>
          <w:rStyle w:val="Hipervnculo"/>
          <w:rFonts w:asciiTheme="minorHAnsi" w:eastAsia="Times New Roman" w:hAnsiTheme="minorHAnsi" w:cs="Lucida Sans Unicode"/>
          <w:bCs w:val="0"/>
          <w:sz w:val="24"/>
          <w:szCs w:val="24"/>
        </w:rPr>
        <w:t xml:space="preserve"> </w:t>
      </w:r>
    </w:p>
    <w:p w:rsidR="00CF5CC1" w:rsidRPr="007B271A" w:rsidRDefault="00834091" w:rsidP="007B271A">
      <w:pPr>
        <w:pStyle w:val="Ttulo2"/>
        <w:numPr>
          <w:ilvl w:val="0"/>
          <w:numId w:val="35"/>
        </w:numPr>
        <w:shd w:val="clear" w:color="auto" w:fill="FFFFFF"/>
        <w:spacing w:line="252" w:lineRule="atLeast"/>
        <w:jc w:val="both"/>
        <w:rPr>
          <w:rFonts w:asciiTheme="minorHAnsi" w:hAnsiTheme="minorHAnsi"/>
          <w:b w:val="0"/>
          <w:color w:val="000000" w:themeColor="text1"/>
          <w:sz w:val="24"/>
          <w:szCs w:val="24"/>
        </w:rPr>
      </w:pPr>
      <w:hyperlink r:id="rId10" w:tgtFrame="_blank" w:history="1">
        <w:r w:rsidRPr="007B271A">
          <w:rPr>
            <w:rStyle w:val="Hipervnculo"/>
            <w:rFonts w:asciiTheme="minorHAnsi" w:eastAsia="Times New Roman" w:hAnsiTheme="minorHAnsi" w:cs="Lucida Sans Unicode"/>
            <w:bCs w:val="0"/>
            <w:sz w:val="24"/>
            <w:szCs w:val="24"/>
          </w:rPr>
          <w:t>Estudio de paisaje del Proyecto de Revisión Simplificada del Plan General Valencia</w:t>
        </w:r>
      </w:hyperlink>
      <w:r w:rsidRPr="007B271A">
        <w:rPr>
          <w:rFonts w:asciiTheme="minorHAnsi" w:hAnsiTheme="minorHAnsi"/>
          <w:b w:val="0"/>
          <w:color w:val="000000" w:themeColor="text1"/>
          <w:sz w:val="24"/>
          <w:szCs w:val="24"/>
        </w:rPr>
        <w:t xml:space="preserve"> </w:t>
      </w:r>
    </w:p>
    <w:p w:rsidR="00D210D5" w:rsidRDefault="007B271A" w:rsidP="00D210D5">
      <w:pPr>
        <w:pStyle w:val="Ttulo2"/>
        <w:numPr>
          <w:ilvl w:val="0"/>
          <w:numId w:val="35"/>
        </w:numPr>
        <w:shd w:val="clear" w:color="auto" w:fill="FFFFFF"/>
        <w:spacing w:line="252" w:lineRule="atLeast"/>
        <w:jc w:val="both"/>
        <w:rPr>
          <w:rStyle w:val="Hipervnculo"/>
          <w:rFonts w:asciiTheme="minorHAnsi" w:eastAsia="Times New Roman" w:hAnsiTheme="minorHAnsi" w:cs="Lucida Sans Unicode"/>
          <w:bCs w:val="0"/>
          <w:sz w:val="24"/>
          <w:szCs w:val="24"/>
        </w:rPr>
      </w:pPr>
      <w:hyperlink r:id="rId11" w:tgtFrame="_blank" w:history="1">
        <w:r w:rsidRPr="00B2285E">
          <w:rPr>
            <w:rStyle w:val="Hipervnculo"/>
            <w:rFonts w:asciiTheme="minorHAnsi" w:eastAsia="Times New Roman" w:hAnsiTheme="minorHAnsi" w:cs="Lucida Sans Unicode"/>
            <w:bCs w:val="0"/>
            <w:sz w:val="24"/>
            <w:szCs w:val="24"/>
          </w:rPr>
          <w:t>Estudio de Paisaje de Carlet</w:t>
        </w:r>
      </w:hyperlink>
    </w:p>
    <w:p w:rsidR="00D210D5" w:rsidRPr="00D210D5" w:rsidRDefault="00D210D5" w:rsidP="00D210D5">
      <w:pPr>
        <w:pStyle w:val="Ttulo2"/>
        <w:numPr>
          <w:ilvl w:val="0"/>
          <w:numId w:val="35"/>
        </w:numPr>
        <w:shd w:val="clear" w:color="auto" w:fill="FFFFFF"/>
        <w:spacing w:line="252" w:lineRule="atLeast"/>
        <w:jc w:val="both"/>
        <w:rPr>
          <w:rFonts w:asciiTheme="minorHAnsi" w:eastAsia="Times New Roman" w:hAnsiTheme="minorHAnsi" w:cs="Lucida Sans Unicode"/>
          <w:b w:val="0"/>
          <w:bCs w:val="0"/>
          <w:color w:val="000000" w:themeColor="text1"/>
          <w:sz w:val="24"/>
          <w:szCs w:val="24"/>
          <w:u w:val="single"/>
        </w:rPr>
      </w:pPr>
      <w:hyperlink r:id="rId12" w:tgtFrame="_blank" w:history="1">
        <w:r w:rsidRPr="00D210D5">
          <w:rPr>
            <w:rStyle w:val="Hipervnculo"/>
            <w:rFonts w:asciiTheme="minorHAnsi" w:hAnsiTheme="minorHAnsi"/>
            <w:sz w:val="24"/>
            <w:szCs w:val="24"/>
          </w:rPr>
          <w:t>Una propuesta metodológica para el estudio del paisaje integrado</w:t>
        </w:r>
      </w:hyperlink>
      <w:r>
        <w:rPr>
          <w:rFonts w:asciiTheme="minorHAnsi" w:hAnsiTheme="minorHAnsi"/>
          <w:b w:val="0"/>
          <w:color w:val="000000" w:themeColor="text1"/>
          <w:sz w:val="24"/>
          <w:szCs w:val="24"/>
        </w:rPr>
        <w:t xml:space="preserve"> (P. Ibarra Benlloch, Dialnet-Unirioja). </w:t>
      </w:r>
    </w:p>
    <w:p w:rsidR="00D210D5" w:rsidRPr="00D210D5" w:rsidRDefault="00D210D5" w:rsidP="00D210D5"/>
    <w:p w:rsidR="005F7046" w:rsidRPr="001A2311" w:rsidRDefault="005F7046" w:rsidP="00DD63D0">
      <w:pPr>
        <w:pStyle w:val="Prrafodelista"/>
        <w:ind w:left="360"/>
        <w:jc w:val="both"/>
        <w:rPr>
          <w:rFonts w:eastAsia="Times New Roman" w:cs="Lucida Sans Unicode"/>
          <w:sz w:val="24"/>
          <w:szCs w:val="24"/>
        </w:rPr>
      </w:pPr>
    </w:p>
    <w:p w:rsidR="005F7046" w:rsidRPr="001A2311" w:rsidRDefault="005F7046" w:rsidP="00DD63D0">
      <w:pPr>
        <w:pStyle w:val="Prrafodelista"/>
        <w:ind w:left="360"/>
        <w:jc w:val="both"/>
        <w:rPr>
          <w:rFonts w:eastAsia="Times New Roman" w:cs="Lucida Sans Unicode"/>
          <w:sz w:val="24"/>
          <w:szCs w:val="24"/>
        </w:rPr>
      </w:pPr>
    </w:p>
    <w:p w:rsidR="005F7046" w:rsidRDefault="005F7046" w:rsidP="00DD63D0">
      <w:pPr>
        <w:pStyle w:val="Prrafodelista"/>
        <w:ind w:left="360"/>
        <w:jc w:val="both"/>
        <w:rPr>
          <w:sz w:val="24"/>
          <w:szCs w:val="24"/>
        </w:rPr>
      </w:pPr>
    </w:p>
    <w:p w:rsidR="00A321DE" w:rsidRDefault="00A321DE" w:rsidP="00DD63D0">
      <w:pPr>
        <w:pStyle w:val="Prrafodelista"/>
        <w:ind w:left="360"/>
        <w:jc w:val="both"/>
        <w:rPr>
          <w:sz w:val="24"/>
          <w:szCs w:val="24"/>
        </w:rPr>
      </w:pPr>
    </w:p>
    <w:p w:rsidR="00A321DE" w:rsidRDefault="00A321DE" w:rsidP="00DD63D0">
      <w:pPr>
        <w:pStyle w:val="Prrafodelista"/>
        <w:ind w:left="360"/>
        <w:jc w:val="both"/>
        <w:rPr>
          <w:sz w:val="24"/>
          <w:szCs w:val="24"/>
        </w:rPr>
      </w:pPr>
    </w:p>
    <w:p w:rsidR="00C760F8" w:rsidRPr="00C760F8" w:rsidRDefault="00C760F8" w:rsidP="00DD63D0">
      <w:pPr>
        <w:pStyle w:val="Prrafodelista"/>
        <w:ind w:left="360"/>
        <w:jc w:val="both"/>
        <w:rPr>
          <w:sz w:val="24"/>
          <w:szCs w:val="24"/>
        </w:rPr>
      </w:pPr>
    </w:p>
    <w:sectPr w:rsidR="00C760F8" w:rsidRPr="00C760F8" w:rsidSect="00D372BF">
      <w:headerReference w:type="default" r:id="rId13"/>
      <w:pgSz w:w="11906" w:h="16838"/>
      <w:pgMar w:top="1417" w:right="1701" w:bottom="99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45" w:rsidRDefault="00B25145" w:rsidP="00F471F8">
      <w:pPr>
        <w:spacing w:after="0" w:line="240" w:lineRule="auto"/>
      </w:pPr>
      <w:r>
        <w:separator/>
      </w:r>
    </w:p>
  </w:endnote>
  <w:endnote w:type="continuationSeparator" w:id="1">
    <w:p w:rsidR="00B25145" w:rsidRDefault="00B25145" w:rsidP="00F4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45" w:rsidRDefault="00B25145" w:rsidP="00F471F8">
      <w:pPr>
        <w:spacing w:after="0" w:line="240" w:lineRule="auto"/>
      </w:pPr>
      <w:r>
        <w:separator/>
      </w:r>
    </w:p>
  </w:footnote>
  <w:footnote w:type="continuationSeparator" w:id="1">
    <w:p w:rsidR="00B25145" w:rsidRDefault="00B25145" w:rsidP="00F4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C0" w:rsidRDefault="007B08C0" w:rsidP="00F471F8">
    <w:pPr>
      <w:pStyle w:val="Encabezado"/>
      <w:jc w:val="center"/>
      <w:rPr>
        <w:noProof/>
      </w:rPr>
    </w:pPr>
  </w:p>
  <w:p w:rsidR="00F471F8" w:rsidRDefault="007B08C0" w:rsidP="00F471F8">
    <w:pPr>
      <w:pStyle w:val="Encabezado"/>
      <w:jc w:val="center"/>
    </w:pPr>
    <w:r>
      <w:rPr>
        <w:noProof/>
      </w:rPr>
      <w:drawing>
        <wp:inline distT="0" distB="0" distL="0" distR="0">
          <wp:extent cx="914400" cy="914400"/>
          <wp:effectExtent l="19050" t="0" r="0" b="0"/>
          <wp:docPr id="2" name="1 Imagen" descr="coitavc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tavc 300x300.jpg"/>
                  <pic:cNvPicPr/>
                </pic:nvPicPr>
                <pic:blipFill>
                  <a:blip r:embed="rId1"/>
                  <a:stretch>
                    <a:fillRect/>
                  </a:stretch>
                </pic:blipFill>
                <pic:spPr>
                  <a:xfrm>
                    <a:off x="0" y="0"/>
                    <a:ext cx="914400" cy="914400"/>
                  </a:xfrm>
                  <a:prstGeom prst="rect">
                    <a:avLst/>
                  </a:prstGeom>
                </pic:spPr>
              </pic:pic>
            </a:graphicData>
          </a:graphic>
        </wp:inline>
      </w:drawing>
    </w:r>
  </w:p>
  <w:p w:rsidR="00F471F8" w:rsidRDefault="00F471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27"/>
    <w:multiLevelType w:val="hybridMultilevel"/>
    <w:tmpl w:val="60FC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921D78"/>
    <w:multiLevelType w:val="hybridMultilevel"/>
    <w:tmpl w:val="9D265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60E74"/>
    <w:multiLevelType w:val="hybridMultilevel"/>
    <w:tmpl w:val="4D36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711D1E"/>
    <w:multiLevelType w:val="hybridMultilevel"/>
    <w:tmpl w:val="35B27EE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DC40F4A"/>
    <w:multiLevelType w:val="hybridMultilevel"/>
    <w:tmpl w:val="6DA263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08D77FE"/>
    <w:multiLevelType w:val="hybridMultilevel"/>
    <w:tmpl w:val="529CB2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2892BCC"/>
    <w:multiLevelType w:val="hybridMultilevel"/>
    <w:tmpl w:val="D8D4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2F79AE"/>
    <w:multiLevelType w:val="multilevel"/>
    <w:tmpl w:val="C9C0450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8">
    <w:nsid w:val="245F1BBA"/>
    <w:multiLevelType w:val="hybridMultilevel"/>
    <w:tmpl w:val="36640DD6"/>
    <w:lvl w:ilvl="0" w:tplc="926A621C">
      <w:start w:val="7"/>
      <w:numFmt w:val="bullet"/>
      <w:lvlText w:val="-"/>
      <w:lvlJc w:val="left"/>
      <w:pPr>
        <w:ind w:left="720" w:hanging="360"/>
      </w:pPr>
      <w:rPr>
        <w:rFonts w:ascii="Calibri" w:eastAsia="Times New Roman" w:hAnsi="Calibri" w:cs="Lucida Sans Unicode"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64145E"/>
    <w:multiLevelType w:val="hybridMultilevel"/>
    <w:tmpl w:val="385EC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762E19"/>
    <w:multiLevelType w:val="hybridMultilevel"/>
    <w:tmpl w:val="9D6E0A6A"/>
    <w:lvl w:ilvl="0" w:tplc="0C0A0001">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7B2054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B36688"/>
    <w:multiLevelType w:val="hybridMultilevel"/>
    <w:tmpl w:val="8E04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443287"/>
    <w:multiLevelType w:val="multilevel"/>
    <w:tmpl w:val="53B24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309C1"/>
    <w:multiLevelType w:val="multilevel"/>
    <w:tmpl w:val="8F5C459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790D81"/>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611E9E"/>
    <w:multiLevelType w:val="hybridMultilevel"/>
    <w:tmpl w:val="A56EE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89215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8D7F8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8D539C"/>
    <w:multiLevelType w:val="hybridMultilevel"/>
    <w:tmpl w:val="7ECA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314E37"/>
    <w:multiLevelType w:val="hybridMultilevel"/>
    <w:tmpl w:val="94868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9A7829"/>
    <w:multiLevelType w:val="multilevel"/>
    <w:tmpl w:val="01D8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922155"/>
    <w:multiLevelType w:val="hybridMultilevel"/>
    <w:tmpl w:val="E340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4A11EF1"/>
    <w:multiLevelType w:val="hybridMultilevel"/>
    <w:tmpl w:val="977026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61B348F"/>
    <w:multiLevelType w:val="hybridMultilevel"/>
    <w:tmpl w:val="2F20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6062C8"/>
    <w:multiLevelType w:val="multilevel"/>
    <w:tmpl w:val="CB260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F56FF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261C20"/>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EB6D01"/>
    <w:multiLevelType w:val="hybridMultilevel"/>
    <w:tmpl w:val="FFBC7F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44A25FE"/>
    <w:multiLevelType w:val="hybridMultilevel"/>
    <w:tmpl w:val="95C2D4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78F275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493AA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7D6270"/>
    <w:multiLevelType w:val="hybridMultilevel"/>
    <w:tmpl w:val="6AC80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42B76BE"/>
    <w:multiLevelType w:val="hybridMultilevel"/>
    <w:tmpl w:val="66180F8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7373CB9"/>
    <w:multiLevelType w:val="multilevel"/>
    <w:tmpl w:val="8C680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7958D6"/>
    <w:multiLevelType w:val="hybridMultilevel"/>
    <w:tmpl w:val="B9600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383B95"/>
    <w:multiLevelType w:val="hybridMultilevel"/>
    <w:tmpl w:val="F96AD874"/>
    <w:lvl w:ilvl="0" w:tplc="EE76A7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24"/>
  </w:num>
  <w:num w:numId="5">
    <w:abstractNumId w:val="6"/>
  </w:num>
  <w:num w:numId="6">
    <w:abstractNumId w:val="2"/>
  </w:num>
  <w:num w:numId="7">
    <w:abstractNumId w:val="20"/>
  </w:num>
  <w:num w:numId="8">
    <w:abstractNumId w:val="12"/>
  </w:num>
  <w:num w:numId="9">
    <w:abstractNumId w:val="22"/>
  </w:num>
  <w:num w:numId="10">
    <w:abstractNumId w:val="32"/>
  </w:num>
  <w:num w:numId="11">
    <w:abstractNumId w:val="19"/>
  </w:num>
  <w:num w:numId="12">
    <w:abstractNumId w:val="26"/>
  </w:num>
  <w:num w:numId="13">
    <w:abstractNumId w:val="28"/>
  </w:num>
  <w:num w:numId="14">
    <w:abstractNumId w:val="34"/>
  </w:num>
  <w:num w:numId="15">
    <w:abstractNumId w:val="31"/>
  </w:num>
  <w:num w:numId="16">
    <w:abstractNumId w:val="7"/>
  </w:num>
  <w:num w:numId="17">
    <w:abstractNumId w:val="11"/>
  </w:num>
  <w:num w:numId="18">
    <w:abstractNumId w:val="18"/>
  </w:num>
  <w:num w:numId="19">
    <w:abstractNumId w:val="14"/>
  </w:num>
  <w:num w:numId="20">
    <w:abstractNumId w:val="15"/>
  </w:num>
  <w:num w:numId="21">
    <w:abstractNumId w:val="27"/>
  </w:num>
  <w:num w:numId="22">
    <w:abstractNumId w:val="17"/>
  </w:num>
  <w:num w:numId="23">
    <w:abstractNumId w:val="30"/>
  </w:num>
  <w:num w:numId="24">
    <w:abstractNumId w:val="29"/>
  </w:num>
  <w:num w:numId="25">
    <w:abstractNumId w:val="4"/>
  </w:num>
  <w:num w:numId="26">
    <w:abstractNumId w:val="5"/>
  </w:num>
  <w:num w:numId="27">
    <w:abstractNumId w:val="36"/>
  </w:num>
  <w:num w:numId="28">
    <w:abstractNumId w:val="0"/>
  </w:num>
  <w:num w:numId="29">
    <w:abstractNumId w:val="3"/>
  </w:num>
  <w:num w:numId="30">
    <w:abstractNumId w:val="13"/>
  </w:num>
  <w:num w:numId="31">
    <w:abstractNumId w:val="35"/>
  </w:num>
  <w:num w:numId="32">
    <w:abstractNumId w:val="25"/>
  </w:num>
  <w:num w:numId="33">
    <w:abstractNumId w:val="33"/>
  </w:num>
  <w:num w:numId="34">
    <w:abstractNumId w:val="8"/>
  </w:num>
  <w:num w:numId="35">
    <w:abstractNumId w:val="10"/>
  </w:num>
  <w:num w:numId="36">
    <w:abstractNumId w:val="21"/>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FELayout/>
  </w:compat>
  <w:rsids>
    <w:rsidRoot w:val="00F471F8"/>
    <w:rsid w:val="00081A0D"/>
    <w:rsid w:val="000C7ECA"/>
    <w:rsid w:val="000F5628"/>
    <w:rsid w:val="001119BF"/>
    <w:rsid w:val="00115231"/>
    <w:rsid w:val="00127130"/>
    <w:rsid w:val="0013791D"/>
    <w:rsid w:val="00142BCC"/>
    <w:rsid w:val="0019102F"/>
    <w:rsid w:val="001926B6"/>
    <w:rsid w:val="001A2311"/>
    <w:rsid w:val="001A5040"/>
    <w:rsid w:val="001E08A7"/>
    <w:rsid w:val="00200F21"/>
    <w:rsid w:val="00206993"/>
    <w:rsid w:val="002216FD"/>
    <w:rsid w:val="00250497"/>
    <w:rsid w:val="002930D4"/>
    <w:rsid w:val="002A5373"/>
    <w:rsid w:val="002A5CB0"/>
    <w:rsid w:val="002A6950"/>
    <w:rsid w:val="002B63E2"/>
    <w:rsid w:val="0030475B"/>
    <w:rsid w:val="0037018B"/>
    <w:rsid w:val="00390132"/>
    <w:rsid w:val="003973C9"/>
    <w:rsid w:val="003E7492"/>
    <w:rsid w:val="003F20A0"/>
    <w:rsid w:val="004030D0"/>
    <w:rsid w:val="00427F82"/>
    <w:rsid w:val="00434807"/>
    <w:rsid w:val="00473415"/>
    <w:rsid w:val="00476E4F"/>
    <w:rsid w:val="0054508E"/>
    <w:rsid w:val="005A767D"/>
    <w:rsid w:val="005B74CE"/>
    <w:rsid w:val="005F7046"/>
    <w:rsid w:val="0061235D"/>
    <w:rsid w:val="006424B1"/>
    <w:rsid w:val="00661EC3"/>
    <w:rsid w:val="006C61AE"/>
    <w:rsid w:val="006D5B8D"/>
    <w:rsid w:val="006F6A53"/>
    <w:rsid w:val="007131F8"/>
    <w:rsid w:val="0073197A"/>
    <w:rsid w:val="007515E9"/>
    <w:rsid w:val="007B08C0"/>
    <w:rsid w:val="007B271A"/>
    <w:rsid w:val="007B4B64"/>
    <w:rsid w:val="007E1C55"/>
    <w:rsid w:val="00803807"/>
    <w:rsid w:val="00834091"/>
    <w:rsid w:val="0088322B"/>
    <w:rsid w:val="008C43CC"/>
    <w:rsid w:val="008D6715"/>
    <w:rsid w:val="00900FA6"/>
    <w:rsid w:val="00972061"/>
    <w:rsid w:val="009C207C"/>
    <w:rsid w:val="009D5C5C"/>
    <w:rsid w:val="009E034A"/>
    <w:rsid w:val="009E5CF7"/>
    <w:rsid w:val="009F73B0"/>
    <w:rsid w:val="00A321DE"/>
    <w:rsid w:val="00A82618"/>
    <w:rsid w:val="00A842C0"/>
    <w:rsid w:val="00AA4EA1"/>
    <w:rsid w:val="00B2285E"/>
    <w:rsid w:val="00B25145"/>
    <w:rsid w:val="00B27E81"/>
    <w:rsid w:val="00B35ABE"/>
    <w:rsid w:val="00B672CE"/>
    <w:rsid w:val="00B67A3D"/>
    <w:rsid w:val="00B8688E"/>
    <w:rsid w:val="00BB11E3"/>
    <w:rsid w:val="00BF4011"/>
    <w:rsid w:val="00C14F0E"/>
    <w:rsid w:val="00C6571E"/>
    <w:rsid w:val="00C760F8"/>
    <w:rsid w:val="00C852CA"/>
    <w:rsid w:val="00C86620"/>
    <w:rsid w:val="00CE05F6"/>
    <w:rsid w:val="00CE7938"/>
    <w:rsid w:val="00CF5CC1"/>
    <w:rsid w:val="00D0597B"/>
    <w:rsid w:val="00D065E8"/>
    <w:rsid w:val="00D210D5"/>
    <w:rsid w:val="00D372BF"/>
    <w:rsid w:val="00D40D29"/>
    <w:rsid w:val="00D63191"/>
    <w:rsid w:val="00DD63D0"/>
    <w:rsid w:val="00DE1B3A"/>
    <w:rsid w:val="00DF3869"/>
    <w:rsid w:val="00E07C23"/>
    <w:rsid w:val="00E23A78"/>
    <w:rsid w:val="00E40ADE"/>
    <w:rsid w:val="00E44ED4"/>
    <w:rsid w:val="00E632F3"/>
    <w:rsid w:val="00E73BB7"/>
    <w:rsid w:val="00EA0B6D"/>
    <w:rsid w:val="00F471F8"/>
    <w:rsid w:val="00F57365"/>
    <w:rsid w:val="00F72B0F"/>
    <w:rsid w:val="00F8267A"/>
    <w:rsid w:val="00F96553"/>
    <w:rsid w:val="00FB44FF"/>
    <w:rsid w:val="00FC3F7B"/>
    <w:rsid w:val="00FE53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93"/>
  </w:style>
  <w:style w:type="paragraph" w:styleId="Ttulo2">
    <w:name w:val="heading 2"/>
    <w:basedOn w:val="Normal"/>
    <w:next w:val="Normal"/>
    <w:link w:val="Ttulo2Car"/>
    <w:uiPriority w:val="9"/>
    <w:unhideWhenUsed/>
    <w:qFormat/>
    <w:rsid w:val="00F826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90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F826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1F8"/>
  </w:style>
  <w:style w:type="paragraph" w:styleId="Piedepgina">
    <w:name w:val="footer"/>
    <w:basedOn w:val="Normal"/>
    <w:link w:val="PiedepginaCar"/>
    <w:uiPriority w:val="99"/>
    <w:semiHidden/>
    <w:unhideWhenUsed/>
    <w:rsid w:val="00F4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71F8"/>
  </w:style>
  <w:style w:type="paragraph" w:styleId="Textodeglobo">
    <w:name w:val="Balloon Text"/>
    <w:basedOn w:val="Normal"/>
    <w:link w:val="TextodegloboCar"/>
    <w:uiPriority w:val="99"/>
    <w:semiHidden/>
    <w:unhideWhenUsed/>
    <w:rsid w:val="00F4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1F8"/>
    <w:rPr>
      <w:rFonts w:ascii="Tahoma" w:hAnsi="Tahoma" w:cs="Tahoma"/>
      <w:sz w:val="16"/>
      <w:szCs w:val="16"/>
    </w:rPr>
  </w:style>
  <w:style w:type="paragraph" w:styleId="Prrafodelista">
    <w:name w:val="List Paragraph"/>
    <w:basedOn w:val="Normal"/>
    <w:uiPriority w:val="34"/>
    <w:qFormat/>
    <w:rsid w:val="007131F8"/>
    <w:pPr>
      <w:ind w:left="720"/>
      <w:contextualSpacing/>
    </w:pPr>
  </w:style>
  <w:style w:type="character" w:styleId="Hipervnculo">
    <w:name w:val="Hyperlink"/>
    <w:basedOn w:val="Fuentedeprrafopredeter"/>
    <w:uiPriority w:val="99"/>
    <w:unhideWhenUsed/>
    <w:rsid w:val="0037018B"/>
    <w:rPr>
      <w:color w:val="0000FF" w:themeColor="hyperlink"/>
      <w:u w:val="single"/>
    </w:rPr>
  </w:style>
  <w:style w:type="character" w:customStyle="1" w:styleId="Ttulo3Car">
    <w:name w:val="Título 3 Car"/>
    <w:basedOn w:val="Fuentedeprrafopredeter"/>
    <w:link w:val="Ttulo3"/>
    <w:uiPriority w:val="9"/>
    <w:rsid w:val="00390132"/>
    <w:rPr>
      <w:rFonts w:ascii="Times New Roman" w:eastAsia="Times New Roman" w:hAnsi="Times New Roman" w:cs="Times New Roman"/>
      <w:b/>
      <w:bCs/>
      <w:sz w:val="27"/>
      <w:szCs w:val="27"/>
    </w:rPr>
  </w:style>
  <w:style w:type="character" w:styleId="Hipervnculovisitado">
    <w:name w:val="FollowedHyperlink"/>
    <w:basedOn w:val="Fuentedeprrafopredeter"/>
    <w:uiPriority w:val="99"/>
    <w:semiHidden/>
    <w:unhideWhenUsed/>
    <w:rsid w:val="00B67A3D"/>
    <w:rPr>
      <w:color w:val="800080" w:themeColor="followedHyperlink"/>
      <w:u w:val="single"/>
    </w:rPr>
  </w:style>
  <w:style w:type="character" w:customStyle="1" w:styleId="Ttulo4Car">
    <w:name w:val="Título 4 Car"/>
    <w:basedOn w:val="Fuentedeprrafopredeter"/>
    <w:link w:val="Ttulo4"/>
    <w:uiPriority w:val="9"/>
    <w:semiHidden/>
    <w:rsid w:val="00F8267A"/>
    <w:rPr>
      <w:rFonts w:asciiTheme="majorHAnsi" w:eastAsiaTheme="majorEastAsia" w:hAnsiTheme="majorHAnsi" w:cstheme="majorBidi"/>
      <w:b/>
      <w:bCs/>
      <w:i/>
      <w:iCs/>
      <w:color w:val="4F81BD" w:themeColor="accent1"/>
    </w:rPr>
  </w:style>
  <w:style w:type="character" w:customStyle="1" w:styleId="Ttulo2Car">
    <w:name w:val="Título 2 Car"/>
    <w:basedOn w:val="Fuentedeprrafopredeter"/>
    <w:link w:val="Ttulo2"/>
    <w:uiPriority w:val="9"/>
    <w:rsid w:val="00F8267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uentedeprrafopredeter"/>
    <w:rsid w:val="00DD63D0"/>
  </w:style>
</w:styles>
</file>

<file path=word/webSettings.xml><?xml version="1.0" encoding="utf-8"?>
<w:webSettings xmlns:r="http://schemas.openxmlformats.org/officeDocument/2006/relationships" xmlns:w="http://schemas.openxmlformats.org/wordprocessingml/2006/main">
  <w:divs>
    <w:div w:id="595291396">
      <w:bodyDiv w:val="1"/>
      <w:marLeft w:val="0"/>
      <w:marRight w:val="0"/>
      <w:marTop w:val="0"/>
      <w:marBottom w:val="0"/>
      <w:divBdr>
        <w:top w:val="none" w:sz="0" w:space="0" w:color="auto"/>
        <w:left w:val="none" w:sz="0" w:space="0" w:color="auto"/>
        <w:bottom w:val="none" w:sz="0" w:space="0" w:color="auto"/>
        <w:right w:val="none" w:sz="0" w:space="0" w:color="auto"/>
      </w:divBdr>
    </w:div>
    <w:div w:id="889147999">
      <w:bodyDiv w:val="1"/>
      <w:marLeft w:val="0"/>
      <w:marRight w:val="0"/>
      <w:marTop w:val="0"/>
      <w:marBottom w:val="0"/>
      <w:divBdr>
        <w:top w:val="none" w:sz="0" w:space="0" w:color="auto"/>
        <w:left w:val="none" w:sz="0" w:space="0" w:color="auto"/>
        <w:bottom w:val="none" w:sz="0" w:space="0" w:color="auto"/>
        <w:right w:val="none" w:sz="0" w:space="0" w:color="auto"/>
      </w:divBdr>
    </w:div>
    <w:div w:id="1002902550">
      <w:bodyDiv w:val="1"/>
      <w:marLeft w:val="0"/>
      <w:marRight w:val="0"/>
      <w:marTop w:val="0"/>
      <w:marBottom w:val="0"/>
      <w:divBdr>
        <w:top w:val="none" w:sz="0" w:space="0" w:color="auto"/>
        <w:left w:val="none" w:sz="0" w:space="0" w:color="auto"/>
        <w:bottom w:val="none" w:sz="0" w:space="0" w:color="auto"/>
        <w:right w:val="none" w:sz="0" w:space="0" w:color="auto"/>
      </w:divBdr>
    </w:div>
    <w:div w:id="1149979927">
      <w:bodyDiv w:val="1"/>
      <w:marLeft w:val="0"/>
      <w:marRight w:val="0"/>
      <w:marTop w:val="0"/>
      <w:marBottom w:val="0"/>
      <w:divBdr>
        <w:top w:val="none" w:sz="0" w:space="0" w:color="auto"/>
        <w:left w:val="none" w:sz="0" w:space="0" w:color="auto"/>
        <w:bottom w:val="none" w:sz="0" w:space="0" w:color="auto"/>
        <w:right w:val="none" w:sz="0" w:space="0" w:color="auto"/>
      </w:divBdr>
    </w:div>
    <w:div w:id="1371951739">
      <w:bodyDiv w:val="1"/>
      <w:marLeft w:val="0"/>
      <w:marRight w:val="0"/>
      <w:marTop w:val="0"/>
      <w:marBottom w:val="0"/>
      <w:divBdr>
        <w:top w:val="none" w:sz="0" w:space="0" w:color="auto"/>
        <w:left w:val="none" w:sz="0" w:space="0" w:color="auto"/>
        <w:bottom w:val="none" w:sz="0" w:space="0" w:color="auto"/>
        <w:right w:val="none" w:sz="0" w:space="0" w:color="auto"/>
      </w:divBdr>
    </w:div>
    <w:div w:id="1441996902">
      <w:bodyDiv w:val="1"/>
      <w:marLeft w:val="0"/>
      <w:marRight w:val="0"/>
      <w:marTop w:val="0"/>
      <w:marBottom w:val="0"/>
      <w:divBdr>
        <w:top w:val="none" w:sz="0" w:space="0" w:color="auto"/>
        <w:left w:val="none" w:sz="0" w:space="0" w:color="auto"/>
        <w:bottom w:val="none" w:sz="0" w:space="0" w:color="auto"/>
        <w:right w:val="none" w:sz="0" w:space="0" w:color="auto"/>
      </w:divBdr>
    </w:div>
    <w:div w:id="1693074317">
      <w:bodyDiv w:val="1"/>
      <w:marLeft w:val="0"/>
      <w:marRight w:val="0"/>
      <w:marTop w:val="0"/>
      <w:marBottom w:val="0"/>
      <w:divBdr>
        <w:top w:val="none" w:sz="0" w:space="0" w:color="auto"/>
        <w:left w:val="none" w:sz="0" w:space="0" w:color="auto"/>
        <w:bottom w:val="none" w:sz="0" w:space="0" w:color="auto"/>
        <w:right w:val="none" w:sz="0" w:space="0" w:color="auto"/>
      </w:divBdr>
    </w:div>
    <w:div w:id="19649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CCAA/534352-ley-5-2014-de-25-de-julio-de-la-generalitat-de-ordenacion-del-territori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alnet.unirioja.es/descarga/articulo/598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et.es/es/medio-ambiente/estudio-del-paisa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encia.es/ayuntamiento/urbanismo.nsf/vDocumentosTituloAux/0DA14298216E0153C12577AB00355B93?OpenDocument&amp;bdOrigen=ayuntamiento%2Furbanismo.nsf&amp;idapoyo=929D91DEF4FCBCEFC12577A7002A418E&amp;lang=1" TargetMode="External"/><Relationship Id="rId4" Type="http://schemas.openxmlformats.org/officeDocument/2006/relationships/settings" Target="settings.xml"/><Relationship Id="rId9" Type="http://schemas.openxmlformats.org/officeDocument/2006/relationships/hyperlink" Target="http://www.cma.gva.es/web/indice.aspx?nodo=78478&amp;idioma=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35EA-4130-4384-B96D-499E95EE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Tere</cp:lastModifiedBy>
  <cp:revision>16</cp:revision>
  <cp:lastPrinted>2014-09-01T11:44:00Z</cp:lastPrinted>
  <dcterms:created xsi:type="dcterms:W3CDTF">2014-09-03T15:30:00Z</dcterms:created>
  <dcterms:modified xsi:type="dcterms:W3CDTF">2014-09-03T16:13:00Z</dcterms:modified>
</cp:coreProperties>
</file>